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7FF" w:rsidRDefault="009B77FF">
      <w:pPr>
        <w:pStyle w:val="ConsPlusTitlePage"/>
      </w:pPr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9B77FF" w:rsidRDefault="009B77FF">
      <w:pPr>
        <w:pStyle w:val="ConsPlusNormal"/>
        <w:outlineLvl w:val="0"/>
      </w:pPr>
    </w:p>
    <w:p w:rsidR="009B77FF" w:rsidRDefault="009B77FF">
      <w:pPr>
        <w:pStyle w:val="ConsPlusTitle"/>
        <w:jc w:val="center"/>
        <w:outlineLvl w:val="0"/>
      </w:pPr>
      <w:r>
        <w:t>ПРАВИТЕЛЬСТВО ЯМАЛО-НЕНЕЦКОГО АВТОНОМНОГО ОКРУГА</w:t>
      </w:r>
    </w:p>
    <w:p w:rsidR="009B77FF" w:rsidRDefault="009B77FF">
      <w:pPr>
        <w:pStyle w:val="ConsPlusTitle"/>
        <w:jc w:val="center"/>
      </w:pPr>
    </w:p>
    <w:p w:rsidR="009B77FF" w:rsidRDefault="009B77FF">
      <w:pPr>
        <w:pStyle w:val="ConsPlusTitle"/>
        <w:jc w:val="center"/>
      </w:pPr>
      <w:r>
        <w:t>ПОСТАНОВЛЕНИЕ</w:t>
      </w:r>
    </w:p>
    <w:p w:rsidR="009B77FF" w:rsidRDefault="009B77FF">
      <w:pPr>
        <w:pStyle w:val="ConsPlusTitle"/>
        <w:jc w:val="center"/>
      </w:pPr>
      <w:r>
        <w:t>от 19 января 2018 г. N 44-П</w:t>
      </w:r>
    </w:p>
    <w:p w:rsidR="009B77FF" w:rsidRDefault="009B77FF">
      <w:pPr>
        <w:pStyle w:val="ConsPlusTitle"/>
        <w:jc w:val="center"/>
      </w:pPr>
    </w:p>
    <w:p w:rsidR="009B77FF" w:rsidRDefault="009B77FF">
      <w:pPr>
        <w:pStyle w:val="ConsPlusTitle"/>
        <w:jc w:val="center"/>
      </w:pPr>
      <w:r>
        <w:t>О ПОРЯДКЕ ОСУЩЕСТВЛЕНИЯ В 2018 ГОДУ ОПЕРАЦИЙ ПО ПЕРЕЧИСЛЕНИЮ</w:t>
      </w:r>
    </w:p>
    <w:p w:rsidR="009B77FF" w:rsidRDefault="009B77FF">
      <w:pPr>
        <w:pStyle w:val="ConsPlusTitle"/>
        <w:jc w:val="center"/>
      </w:pPr>
      <w:r>
        <w:t>СРЕДСТВ, ОТРАЖЕННЫХ НА ЛИЦЕВЫХ СЧЕТАХ, ОТКРЫТЫХ ДЛЯ УЧЕТА</w:t>
      </w:r>
    </w:p>
    <w:p w:rsidR="009B77FF" w:rsidRDefault="009B77FF">
      <w:pPr>
        <w:pStyle w:val="ConsPlusTitle"/>
        <w:jc w:val="center"/>
      </w:pPr>
      <w:r>
        <w:t>ОПЕРАЦИЙ, ОСУЩЕСТВЛЯЕМЫХ ЮРИДИЧЕСКИМИ ЛИЦАМИ, НЕ ЯВЛЯЮЩИМИСЯ</w:t>
      </w:r>
    </w:p>
    <w:p w:rsidR="009B77FF" w:rsidRDefault="009B77FF">
      <w:pPr>
        <w:pStyle w:val="ConsPlusTitle"/>
        <w:jc w:val="center"/>
      </w:pPr>
      <w:r>
        <w:t>ГОСУДАРСТВЕННЫМИ ИЛИ МУНИЦИПАЛЬНЫМИ УЧРЕЖДЕНИЯМИ</w:t>
      </w:r>
    </w:p>
    <w:p w:rsidR="009B77FF" w:rsidRDefault="009B77FF">
      <w:pPr>
        <w:pStyle w:val="ConsPlusTitle"/>
        <w:jc w:val="center"/>
      </w:pPr>
      <w:r>
        <w:t>И ГОСУДАРСТВЕННЫМИ ИЛИ МУНИЦИПАЛЬНЫМИ УНИТАРНЫМИ</w:t>
      </w:r>
    </w:p>
    <w:p w:rsidR="009B77FF" w:rsidRDefault="009B77FF">
      <w:pPr>
        <w:pStyle w:val="ConsPlusTitle"/>
        <w:jc w:val="center"/>
      </w:pPr>
      <w:r>
        <w:t>ПРЕДПРИЯТИЯМИ, И НЕКОММЕРЧЕСКИМИ ОРГАНИЗАЦИЯМИ, СОЗДАННЫМИ</w:t>
      </w:r>
    </w:p>
    <w:p w:rsidR="009B77FF" w:rsidRDefault="009B77FF">
      <w:pPr>
        <w:pStyle w:val="ConsPlusTitle"/>
        <w:jc w:val="center"/>
      </w:pPr>
      <w:r>
        <w:t>В ФОРМЕ ФОНДОВ</w:t>
      </w:r>
    </w:p>
    <w:p w:rsidR="009B77FF" w:rsidRDefault="009B77FF">
      <w:pPr>
        <w:pStyle w:val="ConsPlusNormal"/>
        <w:ind w:firstLine="540"/>
        <w:jc w:val="both"/>
      </w:pPr>
    </w:p>
    <w:p w:rsidR="009B77FF" w:rsidRDefault="009B77FF">
      <w:pPr>
        <w:pStyle w:val="ConsPlusNormal"/>
        <w:ind w:firstLine="540"/>
        <w:jc w:val="both"/>
      </w:pPr>
      <w:r>
        <w:t xml:space="preserve">В соответствии со </w:t>
      </w:r>
      <w:hyperlink r:id="rId5" w:history="1">
        <w:r>
          <w:rPr>
            <w:color w:val="0000FF"/>
          </w:rPr>
          <w:t>статьей 15</w:t>
        </w:r>
      </w:hyperlink>
      <w:r>
        <w:t xml:space="preserve"> Закона Ямало-Ненецкого автономного округа от 16 ноября 2017 года N 85-ЗАО "Об окружном бюджете на 2018 год и на плановый период 2019 и 2020 годов" Правительство Ямало-Ненецкого автономного округа постановляет:</w:t>
      </w:r>
    </w:p>
    <w:p w:rsidR="009B77FF" w:rsidRDefault="009B77FF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32" w:history="1">
        <w:r>
          <w:rPr>
            <w:color w:val="0000FF"/>
          </w:rPr>
          <w:t>Порядок</w:t>
        </w:r>
      </w:hyperlink>
      <w:r>
        <w:t xml:space="preserve"> осуществления в 2018 году операций по перечислению средств, отраженных на лицевых счетах, открытых для учета операций, осуществляемых юридическими лицами, не являющимися государственными или муниципальными учреждениями и государственными или муниципальными унитарными предприятиями, и некоммерческими организациями, созданными в форме фондов.</w:t>
      </w:r>
    </w:p>
    <w:p w:rsidR="009B77FF" w:rsidRDefault="009B77FF">
      <w:pPr>
        <w:pStyle w:val="ConsPlusNormal"/>
        <w:spacing w:before="220"/>
        <w:ind w:firstLine="540"/>
        <w:jc w:val="both"/>
      </w:pPr>
      <w:r>
        <w:t>2. Настоящее постановление распространяется на правоотношения, возникшие с 01 января 2018 года.</w:t>
      </w:r>
    </w:p>
    <w:p w:rsidR="009B77FF" w:rsidRDefault="009B77FF">
      <w:pPr>
        <w:pStyle w:val="ConsPlusNormal"/>
        <w:spacing w:before="220"/>
        <w:ind w:firstLine="540"/>
        <w:jc w:val="both"/>
      </w:pPr>
      <w:r>
        <w:t>3. Контроль за исполнением настоящего постановления возложить на заместителя Губернатора Ямало-Ненецкого автономного округа, директора департамента финансов Ямало-Ненецкого автономного округа.</w:t>
      </w:r>
    </w:p>
    <w:p w:rsidR="009B77FF" w:rsidRDefault="009B77FF">
      <w:pPr>
        <w:pStyle w:val="ConsPlusNormal"/>
        <w:ind w:firstLine="540"/>
        <w:jc w:val="both"/>
      </w:pPr>
    </w:p>
    <w:p w:rsidR="009B77FF" w:rsidRDefault="009B77FF">
      <w:pPr>
        <w:pStyle w:val="ConsPlusNormal"/>
        <w:jc w:val="right"/>
      </w:pPr>
      <w:r>
        <w:t>Губернатор</w:t>
      </w:r>
    </w:p>
    <w:p w:rsidR="009B77FF" w:rsidRDefault="009B77FF">
      <w:pPr>
        <w:pStyle w:val="ConsPlusNormal"/>
        <w:jc w:val="right"/>
      </w:pPr>
      <w:r>
        <w:t>Ямало-Ненецкого автономного округа</w:t>
      </w:r>
    </w:p>
    <w:p w:rsidR="009B77FF" w:rsidRDefault="009B77FF">
      <w:pPr>
        <w:pStyle w:val="ConsPlusNormal"/>
        <w:jc w:val="right"/>
      </w:pPr>
      <w:r>
        <w:t>Д.Н.КОБЫЛКИН</w:t>
      </w:r>
    </w:p>
    <w:p w:rsidR="009B77FF" w:rsidRDefault="009B77FF">
      <w:pPr>
        <w:pStyle w:val="ConsPlusNormal"/>
        <w:ind w:firstLine="540"/>
        <w:jc w:val="both"/>
      </w:pPr>
    </w:p>
    <w:p w:rsidR="009B77FF" w:rsidRDefault="009B77FF">
      <w:pPr>
        <w:pStyle w:val="ConsPlusNormal"/>
        <w:ind w:firstLine="540"/>
        <w:jc w:val="both"/>
      </w:pPr>
    </w:p>
    <w:p w:rsidR="009B77FF" w:rsidRDefault="009B77FF">
      <w:pPr>
        <w:pStyle w:val="ConsPlusNormal"/>
        <w:ind w:firstLine="540"/>
        <w:jc w:val="both"/>
      </w:pPr>
    </w:p>
    <w:p w:rsidR="009B77FF" w:rsidRDefault="009B77FF">
      <w:pPr>
        <w:pStyle w:val="ConsPlusNormal"/>
        <w:ind w:firstLine="540"/>
        <w:jc w:val="both"/>
      </w:pPr>
    </w:p>
    <w:p w:rsidR="009B77FF" w:rsidRDefault="009B77FF">
      <w:pPr>
        <w:pStyle w:val="ConsPlusNormal"/>
        <w:ind w:firstLine="540"/>
        <w:jc w:val="both"/>
      </w:pPr>
    </w:p>
    <w:p w:rsidR="009B77FF" w:rsidRDefault="009B77FF">
      <w:pPr>
        <w:pStyle w:val="ConsPlusNormal"/>
        <w:jc w:val="right"/>
        <w:outlineLvl w:val="0"/>
      </w:pPr>
      <w:r>
        <w:t>Утвержден</w:t>
      </w:r>
    </w:p>
    <w:p w:rsidR="009B77FF" w:rsidRDefault="009B77FF">
      <w:pPr>
        <w:pStyle w:val="ConsPlusNormal"/>
        <w:jc w:val="right"/>
      </w:pPr>
      <w:r>
        <w:t>постановлением Правительства</w:t>
      </w:r>
    </w:p>
    <w:p w:rsidR="009B77FF" w:rsidRDefault="009B77FF">
      <w:pPr>
        <w:pStyle w:val="ConsPlusNormal"/>
        <w:jc w:val="right"/>
      </w:pPr>
      <w:r>
        <w:t>Ямало-Ненецкого автономного округа</w:t>
      </w:r>
    </w:p>
    <w:p w:rsidR="009B77FF" w:rsidRDefault="009B77FF">
      <w:pPr>
        <w:pStyle w:val="ConsPlusNormal"/>
        <w:jc w:val="right"/>
      </w:pPr>
      <w:r>
        <w:t>от 19 января 2018 года N 44-П</w:t>
      </w:r>
    </w:p>
    <w:p w:rsidR="009B77FF" w:rsidRDefault="009B77FF">
      <w:pPr>
        <w:pStyle w:val="ConsPlusNormal"/>
        <w:ind w:firstLine="540"/>
        <w:jc w:val="both"/>
      </w:pPr>
    </w:p>
    <w:p w:rsidR="009B77FF" w:rsidRDefault="009B77FF">
      <w:pPr>
        <w:pStyle w:val="ConsPlusTitle"/>
        <w:jc w:val="center"/>
      </w:pPr>
      <w:bookmarkStart w:id="0" w:name="P32"/>
      <w:bookmarkEnd w:id="0"/>
      <w:r>
        <w:t>ПОРЯДОК</w:t>
      </w:r>
    </w:p>
    <w:p w:rsidR="009B77FF" w:rsidRDefault="009B77FF">
      <w:pPr>
        <w:pStyle w:val="ConsPlusTitle"/>
        <w:jc w:val="center"/>
      </w:pPr>
      <w:r>
        <w:t>ОСУЩЕСТВЛЕНИЯ В 2018 ГОДУ ОПЕРАЦИЙ ПО ПЕРЕЧИСЛЕНИЮ СРЕДСТВ,</w:t>
      </w:r>
    </w:p>
    <w:p w:rsidR="009B77FF" w:rsidRDefault="009B77FF">
      <w:pPr>
        <w:pStyle w:val="ConsPlusTitle"/>
        <w:jc w:val="center"/>
      </w:pPr>
      <w:r>
        <w:t>ОТРАЖЕННЫХ НА ЛИЦЕВЫХ СЧЕТАХ, ОТКРЫТЫХ ДЛЯ УЧЕТА ОПЕРАЦИЙ,</w:t>
      </w:r>
    </w:p>
    <w:p w:rsidR="009B77FF" w:rsidRDefault="009B77FF">
      <w:pPr>
        <w:pStyle w:val="ConsPlusTitle"/>
        <w:jc w:val="center"/>
      </w:pPr>
      <w:r>
        <w:t>ОСУЩЕСТВЛЯЕМЫХ ЮРИДИЧЕСКИМИ ЛИЦАМИ, НЕ ЯВЛЯЮЩИМИСЯ</w:t>
      </w:r>
    </w:p>
    <w:p w:rsidR="009B77FF" w:rsidRDefault="009B77FF">
      <w:pPr>
        <w:pStyle w:val="ConsPlusTitle"/>
        <w:jc w:val="center"/>
      </w:pPr>
      <w:r>
        <w:t>ГОСУДАРСТВЕННЫМИ ИЛИ МУНИЦИПАЛЬНЫМИ УЧРЕЖДЕНИЯМИ</w:t>
      </w:r>
    </w:p>
    <w:p w:rsidR="009B77FF" w:rsidRDefault="009B77FF">
      <w:pPr>
        <w:pStyle w:val="ConsPlusTitle"/>
        <w:jc w:val="center"/>
      </w:pPr>
      <w:r>
        <w:t>И ГОСУДАРСТВЕННЫМИ ИЛИ МУНИЦИПАЛЬНЫМИ УНИТАРНЫМИ</w:t>
      </w:r>
    </w:p>
    <w:p w:rsidR="009B77FF" w:rsidRDefault="009B77FF">
      <w:pPr>
        <w:pStyle w:val="ConsPlusTitle"/>
        <w:jc w:val="center"/>
      </w:pPr>
      <w:r>
        <w:t>ПРЕДПРИЯТИЯМИ, И НЕКОММЕРЧЕСКИМИ ОРГАНИЗАЦИЯМИ, СОЗДАННЫМИ</w:t>
      </w:r>
    </w:p>
    <w:p w:rsidR="009B77FF" w:rsidRDefault="009B77FF">
      <w:pPr>
        <w:pStyle w:val="ConsPlusTitle"/>
        <w:jc w:val="center"/>
      </w:pPr>
      <w:r>
        <w:t>В ФОРМЕ ФОНДОВ</w:t>
      </w:r>
    </w:p>
    <w:p w:rsidR="009B77FF" w:rsidRDefault="009B77FF">
      <w:pPr>
        <w:pStyle w:val="ConsPlusNormal"/>
        <w:ind w:firstLine="540"/>
        <w:jc w:val="both"/>
      </w:pPr>
    </w:p>
    <w:p w:rsidR="009B77FF" w:rsidRDefault="009B77FF">
      <w:pPr>
        <w:pStyle w:val="ConsPlusNormal"/>
        <w:ind w:firstLine="540"/>
        <w:jc w:val="both"/>
      </w:pPr>
      <w:r>
        <w:t>1. Настоящий Порядок устанавливает последовательность действий при осуществлении операций по перечислению средств с лицевых счетов, открытых в департаменте финансов Ямало-Ненецкого автономного округа (далее - департамент финансов, автономный округ) для учета операций, осуществляемых юридическими лицами, не являющимися государственными или муниципальными учреждениями и государственными или муниципальными унитарными предприятиями, и некоммерческими организациями, созданными в форме фондов (далее - организации).</w:t>
      </w:r>
    </w:p>
    <w:p w:rsidR="009B77FF" w:rsidRDefault="009B77FF">
      <w:pPr>
        <w:pStyle w:val="ConsPlusNormal"/>
        <w:spacing w:before="220"/>
        <w:ind w:firstLine="540"/>
        <w:jc w:val="both"/>
      </w:pPr>
      <w:r>
        <w:t>2. Учет операций с субсидиями, в том числе в виде имущественных взносов, и бюджетными инвестициями (взносами в уставные капиталы), поступающими организациям из окружного бюджета (далее - целевые средства), осуществляется на лицевых счетах, открываемых организациям в департаменте финансов в соответствии с порядком, установленным департаментом финансов (далее - лицевые счета для учета операций, осуществляемых организацией).</w:t>
      </w:r>
    </w:p>
    <w:p w:rsidR="009B77FF" w:rsidRDefault="009B77FF">
      <w:pPr>
        <w:pStyle w:val="ConsPlusNormal"/>
        <w:spacing w:before="220"/>
        <w:ind w:firstLine="540"/>
        <w:jc w:val="both"/>
      </w:pPr>
      <w:bookmarkStart w:id="1" w:name="P43"/>
      <w:bookmarkEnd w:id="1"/>
      <w:r>
        <w:t>3. Целевые средства, отраженные на лицевых счетах для учета операций, осуществляемых организацией, не могут быть перечислены:</w:t>
      </w:r>
    </w:p>
    <w:p w:rsidR="009B77FF" w:rsidRDefault="009B77FF">
      <w:pPr>
        <w:pStyle w:val="ConsPlusNormal"/>
        <w:spacing w:before="220"/>
        <w:ind w:firstLine="540"/>
        <w:jc w:val="both"/>
      </w:pPr>
      <w:r>
        <w:t>- на счета, открытые организации в кредитной организации, за исключением:</w:t>
      </w:r>
    </w:p>
    <w:p w:rsidR="009B77FF" w:rsidRDefault="009B77FF">
      <w:pPr>
        <w:pStyle w:val="ConsPlusNormal"/>
        <w:spacing w:before="220"/>
        <w:ind w:firstLine="540"/>
        <w:jc w:val="both"/>
      </w:pPr>
      <w:r>
        <w:t>а) расходов на содержание организации, источником финансового обеспечения которых являются целевые средства;</w:t>
      </w:r>
    </w:p>
    <w:p w:rsidR="009B77FF" w:rsidRDefault="009B77FF">
      <w:pPr>
        <w:pStyle w:val="ConsPlusNormal"/>
        <w:spacing w:before="220"/>
        <w:ind w:firstLine="540"/>
        <w:jc w:val="both"/>
      </w:pPr>
      <w:r>
        <w:t>б) возмещения произведенных организацией расходов (части расходов), если нормативными правовыми актами автономного округа, регулирующими порядок предоставления целевых средств, предусмотрена возможность такого возмещения;</w:t>
      </w:r>
    </w:p>
    <w:p w:rsidR="009B77FF" w:rsidRDefault="009B77FF">
      <w:pPr>
        <w:pStyle w:val="ConsPlusNormal"/>
        <w:spacing w:before="220"/>
        <w:ind w:firstLine="540"/>
        <w:jc w:val="both"/>
      </w:pPr>
      <w:r>
        <w:t>- в качестве взноса в уставный капитал другого юридического лица, если положениями нормативных правовых актов автономного округа или договорами (соглашениями) об участии автономного округа в собственности субъекта инвестиций, регулирующими порядок предоставления целевых средств, не предусмотрена возможность перечисления целевых средств иным юридическим лицам;</w:t>
      </w:r>
    </w:p>
    <w:p w:rsidR="009B77FF" w:rsidRDefault="009B77FF">
      <w:pPr>
        <w:pStyle w:val="ConsPlusNormal"/>
        <w:spacing w:before="220"/>
        <w:ind w:firstLine="540"/>
        <w:jc w:val="both"/>
      </w:pPr>
      <w:r>
        <w:t>- в целях размещения целевых средств на депозиты, а также в иные финансовые инструменты;</w:t>
      </w:r>
    </w:p>
    <w:p w:rsidR="009B77FF" w:rsidRDefault="009B77FF">
      <w:pPr>
        <w:pStyle w:val="ConsPlusNormal"/>
        <w:spacing w:before="220"/>
        <w:ind w:firstLine="540"/>
        <w:jc w:val="both"/>
      </w:pPr>
      <w:r>
        <w:t>- на приобретение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целевых средств иных операций, определенных нормативными правовыми актами, регулирующими порядок предоставления целевых средств.</w:t>
      </w:r>
    </w:p>
    <w:p w:rsidR="009B77FF" w:rsidRDefault="009B77FF">
      <w:pPr>
        <w:pStyle w:val="ConsPlusNormal"/>
        <w:spacing w:before="220"/>
        <w:ind w:firstLine="540"/>
        <w:jc w:val="both"/>
      </w:pPr>
      <w:r>
        <w:t xml:space="preserve">4. Департамент финансов не вправе принимать к исполнению платежные документы для осуществления выплат организацией, источником финансового обеспечения которых являются целевые средства, нарушающие требования, установленные </w:t>
      </w:r>
      <w:hyperlink w:anchor="P43" w:history="1">
        <w:r>
          <w:rPr>
            <w:color w:val="0000FF"/>
          </w:rPr>
          <w:t>пунктом 3</w:t>
        </w:r>
      </w:hyperlink>
      <w:r>
        <w:t xml:space="preserve"> настоящего Порядка.</w:t>
      </w:r>
    </w:p>
    <w:p w:rsidR="009B77FF" w:rsidRDefault="009B77FF">
      <w:pPr>
        <w:pStyle w:val="ConsPlusNormal"/>
        <w:spacing w:before="220"/>
        <w:ind w:firstLine="540"/>
        <w:jc w:val="both"/>
      </w:pPr>
      <w:r>
        <w:t>5. Информационный обмен между главными распорядителями средств окружного бюджета, осуществляющими предоставление целевых средств (далее - главные распорядители), организациями и департаментом финансов осуществляется в электронном виде в программном обеспечении АС "Бюджет" с применением средств электронной подписи в соответствии с законодательством Российской Федерации, на основании договоров об обмене электронными документами, заключенных между главным распорядителем и департаментом финансов, между организацией и департаментом финансов, и требованиями, установленными законодательством Российской Федерации.</w:t>
      </w:r>
    </w:p>
    <w:p w:rsidR="009B77FF" w:rsidRDefault="009B77FF">
      <w:pPr>
        <w:pStyle w:val="ConsPlusNormal"/>
        <w:spacing w:before="220"/>
        <w:ind w:firstLine="540"/>
        <w:jc w:val="both"/>
      </w:pPr>
      <w:r>
        <w:t xml:space="preserve">Если у главного распорядителя, организации или департамента финансов отсутствует </w:t>
      </w:r>
      <w:r>
        <w:lastRenderedPageBreak/>
        <w:t>техническая возможность информационного обмена в электронном виде, обмен информацией между ними осуществляется с применением документооборота на бумажных носителях.</w:t>
      </w:r>
    </w:p>
    <w:p w:rsidR="009B77FF" w:rsidRDefault="009B77FF">
      <w:pPr>
        <w:pStyle w:val="ConsPlusNormal"/>
        <w:spacing w:before="220"/>
        <w:ind w:firstLine="540"/>
        <w:jc w:val="both"/>
      </w:pPr>
      <w:bookmarkStart w:id="2" w:name="P53"/>
      <w:bookmarkEnd w:id="2"/>
      <w:r>
        <w:t xml:space="preserve">6. Департамент финансов принимает к исполнению платежные документы для осуществления выплат организацией, источником финансового обеспечения которых являются целевые средства, в виде платежных поручений, оформленных в соответствии с </w:t>
      </w:r>
      <w:hyperlink r:id="rId6" w:history="1">
        <w:r>
          <w:rPr>
            <w:color w:val="0000FF"/>
          </w:rPr>
          <w:t>Положением</w:t>
        </w:r>
      </w:hyperlink>
      <w:r>
        <w:t xml:space="preserve"> о правилах осуществления перевода денежных средств, утвержденным Центральным банком Российской Федерации от 19 июня 2012 года N 383-П, с учетом требований, установленных </w:t>
      </w:r>
      <w:hyperlink r:id="rId7" w:history="1">
        <w:r>
          <w:rPr>
            <w:color w:val="0000FF"/>
          </w:rPr>
          <w:t>Положением</w:t>
        </w:r>
      </w:hyperlink>
      <w:r>
        <w:t xml:space="preserve"> об особенностях расчетного и кассового обслуживания территориальных органов Федерального казначейства, финансовых органов субъектов Российской Федерации (муниципальных образований) и органов управления государственными внебюджетными фондами Российской Федерации, утвержденным Центральным банком Российской Федерации и Министерством финансов Российской Федерации от 18 февраля 2014 года N 414-П/N 8н, и настоящим Порядком.</w:t>
      </w:r>
    </w:p>
    <w:p w:rsidR="009B77FF" w:rsidRDefault="009B77FF">
      <w:pPr>
        <w:pStyle w:val="ConsPlusNormal"/>
        <w:spacing w:before="220"/>
        <w:ind w:firstLine="540"/>
        <w:jc w:val="both"/>
      </w:pPr>
      <w:bookmarkStart w:id="3" w:name="P54"/>
      <w:bookmarkEnd w:id="3"/>
      <w:r>
        <w:t xml:space="preserve">7. Организация для осуществления санкционирования оплаты денежных обязательств, источником финансового обеспечения которых являются целевые средства, представляет в департамент финансов утвержденные главным распорядителем </w:t>
      </w:r>
      <w:hyperlink w:anchor="P108" w:history="1">
        <w:r>
          <w:rPr>
            <w:color w:val="0000FF"/>
          </w:rPr>
          <w:t>сведения</w:t>
        </w:r>
      </w:hyperlink>
      <w:r>
        <w:t xml:space="preserve"> о направлениях расходования целевых средств на текущий финансовый год, соответствующих целям их предоставления по форме согласно приложению к настоящему Порядку (далее - сведения), включая суммы неиспользованных на начало текущего финансового года остатков целевых средств.</w:t>
      </w:r>
    </w:p>
    <w:p w:rsidR="009B77FF" w:rsidRDefault="009B77FF">
      <w:pPr>
        <w:pStyle w:val="ConsPlusNormal"/>
        <w:spacing w:before="220"/>
        <w:ind w:firstLine="540"/>
        <w:jc w:val="both"/>
      </w:pPr>
      <w:r>
        <w:t>Сведения представляются в департамент финансов на бумажном носителе в двух экземплярах.</w:t>
      </w:r>
    </w:p>
    <w:p w:rsidR="009B77FF" w:rsidRDefault="009B77FF">
      <w:pPr>
        <w:pStyle w:val="ConsPlusNormal"/>
        <w:spacing w:before="220"/>
        <w:ind w:firstLine="540"/>
        <w:jc w:val="both"/>
      </w:pPr>
      <w:bookmarkStart w:id="4" w:name="P56"/>
      <w:bookmarkEnd w:id="4"/>
      <w:r>
        <w:t>8. При внесении изменений в сведения организация представляет в департамент финансов сведения, в которых указываются показатели с учетом вносимых изменений (далее - изменение к сведениям).</w:t>
      </w:r>
    </w:p>
    <w:p w:rsidR="009B77FF" w:rsidRDefault="009B77FF">
      <w:pPr>
        <w:pStyle w:val="ConsPlusNormal"/>
        <w:spacing w:before="220"/>
        <w:ind w:firstLine="540"/>
        <w:jc w:val="both"/>
      </w:pPr>
      <w:r>
        <w:t>Планируемая сумма выплат по направлению расходования целевых средств, указанная в изменениях к сведениям, должна быть больше или равна сумме уже произведенных выплат.</w:t>
      </w:r>
    </w:p>
    <w:p w:rsidR="009B77FF" w:rsidRDefault="009B77FF">
      <w:pPr>
        <w:pStyle w:val="ConsPlusNormal"/>
        <w:spacing w:before="220"/>
        <w:ind w:firstLine="540"/>
        <w:jc w:val="both"/>
      </w:pPr>
      <w:r>
        <w:t xml:space="preserve">9. В случае если форма сведений или информация, указанная в сведениях, не соответствуют требованиям, установленным </w:t>
      </w:r>
      <w:hyperlink w:anchor="P54" w:history="1">
        <w:r>
          <w:rPr>
            <w:color w:val="0000FF"/>
          </w:rPr>
          <w:t>пунктами 7</w:t>
        </w:r>
      </w:hyperlink>
      <w:r>
        <w:t xml:space="preserve">, </w:t>
      </w:r>
      <w:hyperlink w:anchor="P56" w:history="1">
        <w:r>
          <w:rPr>
            <w:color w:val="0000FF"/>
          </w:rPr>
          <w:t>8</w:t>
        </w:r>
      </w:hyperlink>
      <w:r>
        <w:t xml:space="preserve"> настоящего Порядка, департамент финансов не позднее рабочего дня, следующего за днем представления сведений, возвращает организации сведения с указанием причины возврата.</w:t>
      </w:r>
    </w:p>
    <w:p w:rsidR="009B77FF" w:rsidRDefault="009B77FF">
      <w:pPr>
        <w:pStyle w:val="ConsPlusNormal"/>
        <w:spacing w:before="220"/>
        <w:ind w:firstLine="540"/>
        <w:jc w:val="both"/>
      </w:pPr>
      <w:r>
        <w:t xml:space="preserve">В случае соответствия представленных сведений требованиям, установленным </w:t>
      </w:r>
      <w:hyperlink w:anchor="P54" w:history="1">
        <w:r>
          <w:rPr>
            <w:color w:val="0000FF"/>
          </w:rPr>
          <w:t>пунктами 7</w:t>
        </w:r>
      </w:hyperlink>
      <w:r>
        <w:t xml:space="preserve">, </w:t>
      </w:r>
      <w:hyperlink w:anchor="P56" w:history="1">
        <w:r>
          <w:rPr>
            <w:color w:val="0000FF"/>
          </w:rPr>
          <w:t>8</w:t>
        </w:r>
      </w:hyperlink>
      <w:r>
        <w:t xml:space="preserve"> настоящего Порядка, департамент финансов не позднее второго рабочего дня, следующего за днем представления сведений, направляет организации один экземпляр сведений с отметкой о принятии.</w:t>
      </w:r>
    </w:p>
    <w:p w:rsidR="009B77FF" w:rsidRDefault="009B77FF">
      <w:pPr>
        <w:pStyle w:val="ConsPlusNormal"/>
        <w:spacing w:before="220"/>
        <w:ind w:firstLine="540"/>
        <w:jc w:val="both"/>
      </w:pPr>
      <w:bookmarkStart w:id="5" w:name="P60"/>
      <w:bookmarkEnd w:id="5"/>
      <w:r>
        <w:t>10. Выплаты по целевым средствам осуществляются в пределах остатка целевых средств, отраженных на лицевом счете для учета операций, осуществляемых организацией.</w:t>
      </w:r>
    </w:p>
    <w:p w:rsidR="009B77FF" w:rsidRDefault="009B77FF">
      <w:pPr>
        <w:pStyle w:val="ConsPlusNormal"/>
        <w:spacing w:before="220"/>
        <w:ind w:firstLine="540"/>
        <w:jc w:val="both"/>
      </w:pPr>
      <w:bookmarkStart w:id="6" w:name="P61"/>
      <w:bookmarkEnd w:id="6"/>
      <w:r>
        <w:t>11. Для осуществления выплат с лицевого счета для учета операций, осуществляемых организацией, организация оформляет платежное поручение и представляет его для согласования главному распорядителю.</w:t>
      </w:r>
    </w:p>
    <w:p w:rsidR="009B77FF" w:rsidRDefault="009B77FF">
      <w:pPr>
        <w:pStyle w:val="ConsPlusNormal"/>
        <w:spacing w:before="220"/>
        <w:ind w:firstLine="540"/>
        <w:jc w:val="both"/>
      </w:pPr>
      <w:r>
        <w:t>Для подтверждения возникновения денежного обязательства организация представляет главному распорядителю вместе с платежным поручением указанные в нем договор и документы, подтверждающие возникновение денежного обязательства (далее - документы-основания):</w:t>
      </w:r>
    </w:p>
    <w:p w:rsidR="009B77FF" w:rsidRDefault="009B77FF">
      <w:pPr>
        <w:pStyle w:val="ConsPlusNormal"/>
        <w:spacing w:before="220"/>
        <w:ind w:firstLine="540"/>
        <w:jc w:val="both"/>
      </w:pPr>
      <w:r>
        <w:t>- по поставке товаров - накладная, и (или) акт приемки-передачи, и (или) счет-фактура;</w:t>
      </w:r>
    </w:p>
    <w:p w:rsidR="009B77FF" w:rsidRDefault="009B77FF">
      <w:pPr>
        <w:pStyle w:val="ConsPlusNormal"/>
        <w:spacing w:before="220"/>
        <w:ind w:firstLine="540"/>
        <w:jc w:val="both"/>
      </w:pPr>
      <w:r>
        <w:t>- по оказанию услуг - акт оказанных услуг, и (или) счет, и (или) счет-фактура;</w:t>
      </w:r>
    </w:p>
    <w:p w:rsidR="009B77FF" w:rsidRDefault="009B77FF">
      <w:pPr>
        <w:pStyle w:val="ConsPlusNormal"/>
        <w:spacing w:before="220"/>
        <w:ind w:firstLine="540"/>
        <w:jc w:val="both"/>
      </w:pPr>
      <w:r>
        <w:lastRenderedPageBreak/>
        <w:t>- по выполнению работ - акт выполненных работ, и (или) справка о стоимости выполненных работ и затрат, и (или) счет, и (или) счет-фактура;</w:t>
      </w:r>
    </w:p>
    <w:p w:rsidR="009B77FF" w:rsidRDefault="009B77FF">
      <w:pPr>
        <w:pStyle w:val="ConsPlusNormal"/>
        <w:spacing w:before="220"/>
        <w:ind w:firstLine="540"/>
        <w:jc w:val="both"/>
      </w:pPr>
      <w:r>
        <w:t>- иные документы, предусмотренные законодательством Российской Федерации и договором.</w:t>
      </w:r>
    </w:p>
    <w:p w:rsidR="009B77FF" w:rsidRDefault="009B77FF">
      <w:pPr>
        <w:pStyle w:val="ConsPlusNormal"/>
        <w:spacing w:before="220"/>
        <w:ind w:firstLine="540"/>
        <w:jc w:val="both"/>
      </w:pPr>
      <w:r>
        <w:t>Организация несет ответственность за достоверность документов-оснований, представленных вместе с платежным поручением, в соответствии с законодательством Российской Федерации.</w:t>
      </w:r>
    </w:p>
    <w:p w:rsidR="009B77FF" w:rsidRDefault="009B77FF">
      <w:pPr>
        <w:pStyle w:val="ConsPlusNormal"/>
        <w:spacing w:before="220"/>
        <w:ind w:firstLine="540"/>
        <w:jc w:val="both"/>
      </w:pPr>
      <w:r>
        <w:t>Представление документа-основания не требуется при необходимости оплаты расходов на содержание организации, источником финансового обеспечения которых являются целевые средства, а также возмещения произведенных организацией расходов (части расходов), если нормативными правовыми актами, регулирующими порядок предоставления целевых средств, предусмотрена возможность такого возмещения.</w:t>
      </w:r>
    </w:p>
    <w:p w:rsidR="009B77FF" w:rsidRDefault="009B77FF">
      <w:pPr>
        <w:pStyle w:val="ConsPlusNormal"/>
        <w:spacing w:before="220"/>
        <w:ind w:firstLine="540"/>
        <w:jc w:val="both"/>
      </w:pPr>
      <w:r>
        <w:t>При наличии документооборота с департаментом финансов в электронном виде организация оформляет платежное поручение в программном обеспечении АС "Бюджет", проставляет электронные подписи уполномоченных лиц и направляет для согласования главному распорядителю.</w:t>
      </w:r>
    </w:p>
    <w:p w:rsidR="009B77FF" w:rsidRDefault="009B77FF">
      <w:pPr>
        <w:pStyle w:val="ConsPlusNormal"/>
        <w:spacing w:before="220"/>
        <w:ind w:firstLine="540"/>
        <w:jc w:val="both"/>
      </w:pPr>
      <w:r>
        <w:t>При отсутствии документооборота с департаментом финансов в электронном виде организация оформляет платежное поручение на бумажном носителе в двух экземплярах, на втором экземпляре проставляет подписи уполномоченных лиц организации, обладающих правом первой и второй подписи, и печать организации, направляет оба экземпляра платежного поручения главному распорядителю средств.</w:t>
      </w:r>
    </w:p>
    <w:p w:rsidR="009B77FF" w:rsidRDefault="009B77FF">
      <w:pPr>
        <w:pStyle w:val="ConsPlusNormal"/>
        <w:spacing w:before="220"/>
        <w:ind w:firstLine="540"/>
        <w:jc w:val="both"/>
      </w:pPr>
      <w:bookmarkStart w:id="7" w:name="P71"/>
      <w:bookmarkEnd w:id="7"/>
      <w:r>
        <w:t>12. Главный распорядитель проверяет представленное организацией платежное поручение и документы-основания на предмет соблюдения организацией условий, целей и порядка предоставления целевых средств в виде субсидий, в том числе в виде имущественных взносов, в течение 2 рабочих дней со дня их представления главному распорядителю.</w:t>
      </w:r>
    </w:p>
    <w:p w:rsidR="009B77FF" w:rsidRDefault="009B77FF">
      <w:pPr>
        <w:pStyle w:val="ConsPlusNormal"/>
        <w:spacing w:before="220"/>
        <w:ind w:firstLine="540"/>
        <w:jc w:val="both"/>
      </w:pPr>
      <w:r>
        <w:t>Главный распорядитель возвращает платежное поручение и документы-основания организации с указанием причин возврата в случае выявления факта несоблюдения организацией условий, целей и порядка предоставления целевых средств в виде субсидий, в том числе в виде имущественных взносов, не позднее третьего рабочего дня со дня их представления главному распорядителю.</w:t>
      </w:r>
    </w:p>
    <w:p w:rsidR="009B77FF" w:rsidRDefault="009B77FF">
      <w:pPr>
        <w:pStyle w:val="ConsPlusNormal"/>
        <w:spacing w:before="220"/>
        <w:ind w:firstLine="540"/>
        <w:jc w:val="both"/>
      </w:pPr>
      <w:r>
        <w:t>Главный распорядитель проверяет представленное организацией платежное поручение и документы-основания на предмет соблюдения организацией условий предоставления целевых средств в виде бюджетных инвестиций (взносов в уставные капиталы) в течение 2 рабочих дней со дня их представления главному распорядителю.</w:t>
      </w:r>
    </w:p>
    <w:p w:rsidR="009B77FF" w:rsidRDefault="009B77FF">
      <w:pPr>
        <w:pStyle w:val="ConsPlusNormal"/>
        <w:spacing w:before="220"/>
        <w:ind w:firstLine="540"/>
        <w:jc w:val="both"/>
      </w:pPr>
      <w:r>
        <w:t>Главный распорядитель возвращает платежное поручение и документы-основания организации с указанием причин возврата в случае выявления факта несоблюдения организацией условий предоставления целевых средств в виде бюджетных инвестиций (взносов в уставные капиталы) не позднее третьего рабочего дня со дня их представления главному распорядителю.</w:t>
      </w:r>
    </w:p>
    <w:p w:rsidR="009B77FF" w:rsidRDefault="009B77FF">
      <w:pPr>
        <w:pStyle w:val="ConsPlusNormal"/>
        <w:spacing w:before="220"/>
        <w:ind w:firstLine="540"/>
        <w:jc w:val="both"/>
      </w:pPr>
      <w:bookmarkStart w:id="8" w:name="P75"/>
      <w:bookmarkEnd w:id="8"/>
      <w:r>
        <w:t xml:space="preserve">13. При отсутствии замечаний по результатам проверки, осуществляемой в соответствии с </w:t>
      </w:r>
      <w:hyperlink w:anchor="P71" w:history="1">
        <w:r>
          <w:rPr>
            <w:color w:val="0000FF"/>
          </w:rPr>
          <w:t>пунктом 12</w:t>
        </w:r>
      </w:hyperlink>
      <w:r>
        <w:t xml:space="preserve"> настоящего Порядка, главный распорядитель проставляет на платежном поручении отметку о согласовании и направляет платежное поручение и документы-основания в департамент финансов в течение 3 рабочих дней со дня их представления главному распорядителю.</w:t>
      </w:r>
    </w:p>
    <w:p w:rsidR="009B77FF" w:rsidRDefault="009B77FF">
      <w:pPr>
        <w:pStyle w:val="ConsPlusNormal"/>
        <w:spacing w:before="220"/>
        <w:ind w:firstLine="540"/>
        <w:jc w:val="both"/>
      </w:pPr>
      <w:r>
        <w:t>Отметка о согласовании платежного поручения при наличии электронного документооборота с департаментом финансов проставляется главным распорядителем в электронном виде в программном продукте АС "Бюджет".</w:t>
      </w:r>
    </w:p>
    <w:p w:rsidR="009B77FF" w:rsidRDefault="009B77FF">
      <w:pPr>
        <w:pStyle w:val="ConsPlusNormal"/>
        <w:spacing w:before="220"/>
        <w:ind w:firstLine="540"/>
        <w:jc w:val="both"/>
      </w:pPr>
      <w:r>
        <w:lastRenderedPageBreak/>
        <w:t>Отметка о согласовании платежного поручения при документообороте с департаментом финансов на бумажном носителе включает подписи уполномоченных лиц главного распорядителя, обладающих правом первой и второй подписи, и печать главного распорядителя на втором экземпляре платежного поручения.</w:t>
      </w:r>
    </w:p>
    <w:p w:rsidR="009B77FF" w:rsidRDefault="009B77FF">
      <w:pPr>
        <w:pStyle w:val="ConsPlusNormal"/>
        <w:spacing w:before="220"/>
        <w:ind w:firstLine="540"/>
        <w:jc w:val="both"/>
      </w:pPr>
      <w:r>
        <w:t>14. Департамент финансов не позднее рабочего дня, следующего за днем получения платежного поручения организации, проверяет его на соответствие установленной форме, требованиям настоящего Порядка, а также в случае документооборота на бумажных носителях - на соответствие проставленных на платежном поручении подписей и печати организации имеющимся образцам, представленным организацией в порядке, установленном для открытия лицевого счета для учета операций, осуществляемых организацией.</w:t>
      </w:r>
    </w:p>
    <w:p w:rsidR="009B77FF" w:rsidRDefault="009B77FF">
      <w:pPr>
        <w:pStyle w:val="ConsPlusNormal"/>
        <w:spacing w:before="220"/>
        <w:ind w:firstLine="540"/>
        <w:jc w:val="both"/>
      </w:pPr>
      <w:bookmarkStart w:id="9" w:name="P79"/>
      <w:bookmarkEnd w:id="9"/>
      <w:r>
        <w:t xml:space="preserve">15. Департамент финансов осуществляет проверку платежного поручения с учетом положений </w:t>
      </w:r>
      <w:hyperlink w:anchor="P43" w:history="1">
        <w:r>
          <w:rPr>
            <w:color w:val="0000FF"/>
          </w:rPr>
          <w:t>пункта 3</w:t>
        </w:r>
      </w:hyperlink>
      <w:r>
        <w:t xml:space="preserve"> настоящего Порядка по следующим направлениям:</w:t>
      </w:r>
    </w:p>
    <w:p w:rsidR="009B77FF" w:rsidRDefault="009B77FF">
      <w:pPr>
        <w:pStyle w:val="ConsPlusNormal"/>
        <w:spacing w:before="220"/>
        <w:ind w:firstLine="540"/>
        <w:jc w:val="both"/>
      </w:pPr>
      <w:r>
        <w:t>1) соответствие указанных в платежном поручении реквизитов (тип, номер, дата) документов-оснований реквизитам документов-оснований, представленных в департамент финансов вместе с платежным поручением;</w:t>
      </w:r>
    </w:p>
    <w:p w:rsidR="009B77FF" w:rsidRDefault="009B77FF">
      <w:pPr>
        <w:pStyle w:val="ConsPlusNormal"/>
        <w:spacing w:before="220"/>
        <w:ind w:firstLine="540"/>
        <w:jc w:val="both"/>
      </w:pPr>
      <w:r>
        <w:t>2) соответствие содержания операции по оплате денежных обязательств на поставку товаров, выполнение работ, оказание услуг, исходя из документа-основания, назначению платежа, указанному в платежном поручении;</w:t>
      </w:r>
    </w:p>
    <w:p w:rsidR="009B77FF" w:rsidRDefault="009B77FF">
      <w:pPr>
        <w:pStyle w:val="ConsPlusNormal"/>
        <w:spacing w:before="220"/>
        <w:ind w:firstLine="540"/>
        <w:jc w:val="both"/>
      </w:pPr>
      <w:r>
        <w:t xml:space="preserve">3) </w:t>
      </w:r>
      <w:proofErr w:type="spellStart"/>
      <w:r>
        <w:t>непревышение</w:t>
      </w:r>
      <w:proofErr w:type="spellEnd"/>
      <w:r>
        <w:t xml:space="preserve"> суммы, указанной в платежном поручении, над суммой остатка целевых средств на лицевом счете для учета операций, осуществляемых организацией, и указанной в сведениях суммой планируемых целевых выплат с учетом ранее произведенных выплат;</w:t>
      </w:r>
    </w:p>
    <w:p w:rsidR="009B77FF" w:rsidRDefault="009B77FF">
      <w:pPr>
        <w:pStyle w:val="ConsPlusNormal"/>
        <w:spacing w:before="220"/>
        <w:ind w:firstLine="540"/>
        <w:jc w:val="both"/>
      </w:pPr>
      <w:r>
        <w:t>4) соответствие наименования, ИНН, КПП, банковских реквизитов получателя денежных средств, указанных в платежном поручении, наименованию, ИНН, КПП, банковским реквизитам получателя денежных средств, указанным в документе-основании.</w:t>
      </w:r>
    </w:p>
    <w:p w:rsidR="009B77FF" w:rsidRDefault="009B77FF">
      <w:pPr>
        <w:pStyle w:val="ConsPlusNormal"/>
        <w:spacing w:before="220"/>
        <w:ind w:firstLine="540"/>
        <w:jc w:val="both"/>
      </w:pPr>
      <w:r>
        <w:t xml:space="preserve">16. В случае если форма или информация, указанная в платежном поручении, не соответствуют требованиям, установленным </w:t>
      </w:r>
      <w:hyperlink w:anchor="P53" w:history="1">
        <w:r>
          <w:rPr>
            <w:color w:val="0000FF"/>
          </w:rPr>
          <w:t>пунктами 6</w:t>
        </w:r>
      </w:hyperlink>
      <w:r>
        <w:t xml:space="preserve">, </w:t>
      </w:r>
      <w:hyperlink w:anchor="P60" w:history="1">
        <w:r>
          <w:rPr>
            <w:color w:val="0000FF"/>
          </w:rPr>
          <w:t>10</w:t>
        </w:r>
      </w:hyperlink>
      <w:r>
        <w:t xml:space="preserve">, </w:t>
      </w:r>
      <w:hyperlink w:anchor="P61" w:history="1">
        <w:r>
          <w:rPr>
            <w:color w:val="0000FF"/>
          </w:rPr>
          <w:t>11</w:t>
        </w:r>
      </w:hyperlink>
      <w:r>
        <w:t xml:space="preserve">, </w:t>
      </w:r>
      <w:hyperlink w:anchor="P75" w:history="1">
        <w:r>
          <w:rPr>
            <w:color w:val="0000FF"/>
          </w:rPr>
          <w:t>13</w:t>
        </w:r>
      </w:hyperlink>
      <w:r>
        <w:t xml:space="preserve"> - </w:t>
      </w:r>
      <w:hyperlink w:anchor="P79" w:history="1">
        <w:r>
          <w:rPr>
            <w:color w:val="0000FF"/>
          </w:rPr>
          <w:t>15</w:t>
        </w:r>
      </w:hyperlink>
      <w:r>
        <w:t xml:space="preserve"> настоящего Порядка, департамент финансов возвращает организации платежное поручение и документы-основания не позднее 2 рабочих дней со дня их представления в департамент финансов с указанием причины возврата.</w:t>
      </w:r>
    </w:p>
    <w:p w:rsidR="009B77FF" w:rsidRDefault="009B77FF">
      <w:pPr>
        <w:pStyle w:val="ConsPlusNormal"/>
        <w:spacing w:before="220"/>
        <w:ind w:firstLine="540"/>
        <w:jc w:val="both"/>
      </w:pPr>
      <w:r>
        <w:t>17. При отсутствии замечаний департамент финансов проставляет на платежном поручении отметку, подтверждающую санкционирование оплаты денежных обязательств, и принимает платежное поручение к исполнению не позднее второго рабочего дня, следующего за днем получения платежного поручения организации.</w:t>
      </w:r>
    </w:p>
    <w:p w:rsidR="009B77FF" w:rsidRDefault="009B77FF">
      <w:pPr>
        <w:pStyle w:val="ConsPlusNormal"/>
        <w:spacing w:before="220"/>
        <w:ind w:firstLine="540"/>
        <w:jc w:val="both"/>
      </w:pPr>
      <w:r>
        <w:t>Отметка департамента финансов, подтверждающая санкционирование оплаты денежных обязательств, на платежном поручении, поступившем в электронном виде, проставляется в программном продукте АС "Бюджет".</w:t>
      </w:r>
    </w:p>
    <w:p w:rsidR="009B77FF" w:rsidRDefault="009B77FF">
      <w:pPr>
        <w:pStyle w:val="ConsPlusNormal"/>
        <w:spacing w:before="220"/>
        <w:ind w:firstLine="540"/>
        <w:jc w:val="both"/>
      </w:pPr>
      <w:r>
        <w:t>Отметка департамента финансов, подтверждающая санкционирование оплаты денежных обязательств, на платежном поручении, поступившем на бумажном носителе, включает дату, подпись, расшифровку подписи ответственного исполнителя.</w:t>
      </w:r>
    </w:p>
    <w:p w:rsidR="009B77FF" w:rsidRDefault="009B77FF">
      <w:pPr>
        <w:pStyle w:val="ConsPlusNormal"/>
        <w:spacing w:before="220"/>
        <w:ind w:firstLine="540"/>
        <w:jc w:val="both"/>
      </w:pPr>
      <w:r>
        <w:t>18. Департамент финансов обеспечивает проведение выплат организации, источником финансового обеспечения которых являются целевые средства, не позднее второго рабочего дня, следующего за днем получения платежного поручения организации.</w:t>
      </w:r>
    </w:p>
    <w:p w:rsidR="009B77FF" w:rsidRDefault="009B77FF">
      <w:pPr>
        <w:pStyle w:val="ConsPlusNormal"/>
        <w:spacing w:before="220"/>
        <w:ind w:firstLine="540"/>
        <w:jc w:val="both"/>
      </w:pPr>
      <w:r>
        <w:t xml:space="preserve">19. Департамент финансов направляет организации выписку из лицевого счета не позднее следующего рабочего дня после подтверждения банком проведения операций с приложением </w:t>
      </w:r>
      <w:r>
        <w:lastRenderedPageBreak/>
        <w:t>платежного поручения, служащего основанием для отражения операции на лицевом счете, и документов-оснований.</w:t>
      </w:r>
    </w:p>
    <w:p w:rsidR="009B77FF" w:rsidRDefault="009B77FF">
      <w:pPr>
        <w:pStyle w:val="ConsPlusNormal"/>
        <w:spacing w:before="220"/>
        <w:ind w:firstLine="540"/>
        <w:jc w:val="both"/>
      </w:pPr>
      <w:r>
        <w:t>При наличии электронного документооборота выписки из лицевых счетов и приложенные к ним платежные поручения оформляются электронной подписью уполномоченного лица департамента финансов и направляются организации в электронном виде. При бумажном документообороте на выписке из лицевого счета и на каждом приложенном к выписке из лицевого счета платежном поручении ставится отметка об исполнении с указанием даты, фамилии, инициалов и подписи уполномоченного сотрудника департамента финансов.</w:t>
      </w:r>
    </w:p>
    <w:p w:rsidR="009B77FF" w:rsidRDefault="009B77FF">
      <w:pPr>
        <w:pStyle w:val="ConsPlusNormal"/>
        <w:jc w:val="both"/>
      </w:pPr>
    </w:p>
    <w:p w:rsidR="009B77FF" w:rsidRDefault="009B77FF">
      <w:pPr>
        <w:pStyle w:val="ConsPlusNormal"/>
        <w:ind w:firstLine="540"/>
        <w:jc w:val="both"/>
      </w:pPr>
    </w:p>
    <w:p w:rsidR="009B77FF" w:rsidRDefault="009B77FF">
      <w:pPr>
        <w:pStyle w:val="ConsPlusNormal"/>
        <w:ind w:firstLine="540"/>
        <w:jc w:val="both"/>
      </w:pPr>
    </w:p>
    <w:p w:rsidR="009B77FF" w:rsidRDefault="009B77FF">
      <w:pPr>
        <w:pStyle w:val="ConsPlusNormal"/>
        <w:ind w:firstLine="540"/>
        <w:jc w:val="both"/>
      </w:pPr>
    </w:p>
    <w:p w:rsidR="009B77FF" w:rsidRDefault="009B77FF">
      <w:pPr>
        <w:pStyle w:val="ConsPlusNormal"/>
        <w:ind w:firstLine="540"/>
        <w:jc w:val="both"/>
      </w:pPr>
    </w:p>
    <w:p w:rsidR="009B77FF" w:rsidRDefault="009B77FF">
      <w:pPr>
        <w:pStyle w:val="ConsPlusNormal"/>
        <w:jc w:val="right"/>
        <w:outlineLvl w:val="1"/>
      </w:pPr>
      <w:r>
        <w:t>Приложение</w:t>
      </w:r>
    </w:p>
    <w:p w:rsidR="009B77FF" w:rsidRDefault="009B77FF">
      <w:pPr>
        <w:pStyle w:val="ConsPlusNormal"/>
        <w:jc w:val="right"/>
      </w:pPr>
      <w:r>
        <w:t>к Порядку осуществления в 2018 году</w:t>
      </w:r>
    </w:p>
    <w:p w:rsidR="009B77FF" w:rsidRDefault="009B77FF">
      <w:pPr>
        <w:pStyle w:val="ConsPlusNormal"/>
        <w:jc w:val="right"/>
      </w:pPr>
      <w:r>
        <w:t>операций по перечислению средств,</w:t>
      </w:r>
    </w:p>
    <w:p w:rsidR="009B77FF" w:rsidRDefault="009B77FF">
      <w:pPr>
        <w:pStyle w:val="ConsPlusNormal"/>
        <w:jc w:val="right"/>
      </w:pPr>
      <w:r>
        <w:t>отраженных на лицевых счетах,</w:t>
      </w:r>
    </w:p>
    <w:p w:rsidR="009B77FF" w:rsidRDefault="009B77FF">
      <w:pPr>
        <w:pStyle w:val="ConsPlusNormal"/>
        <w:jc w:val="right"/>
      </w:pPr>
      <w:r>
        <w:t>открытых для учета операций,</w:t>
      </w:r>
    </w:p>
    <w:p w:rsidR="009B77FF" w:rsidRDefault="009B77FF">
      <w:pPr>
        <w:pStyle w:val="ConsPlusNormal"/>
        <w:jc w:val="right"/>
      </w:pPr>
      <w:r>
        <w:t>осуществляемых юридическими лицами,</w:t>
      </w:r>
    </w:p>
    <w:p w:rsidR="009B77FF" w:rsidRDefault="009B77FF">
      <w:pPr>
        <w:pStyle w:val="ConsPlusNormal"/>
        <w:jc w:val="right"/>
      </w:pPr>
      <w:r>
        <w:t>не являющимися государственными</w:t>
      </w:r>
    </w:p>
    <w:p w:rsidR="009B77FF" w:rsidRDefault="009B77FF">
      <w:pPr>
        <w:pStyle w:val="ConsPlusNormal"/>
        <w:jc w:val="right"/>
      </w:pPr>
      <w:r>
        <w:t>или муниципальными учреждениями</w:t>
      </w:r>
    </w:p>
    <w:p w:rsidR="009B77FF" w:rsidRDefault="009B77FF">
      <w:pPr>
        <w:pStyle w:val="ConsPlusNormal"/>
        <w:jc w:val="right"/>
      </w:pPr>
      <w:r>
        <w:t>и государственными или муниципальными</w:t>
      </w:r>
    </w:p>
    <w:p w:rsidR="009B77FF" w:rsidRDefault="009B77FF">
      <w:pPr>
        <w:pStyle w:val="ConsPlusNormal"/>
        <w:jc w:val="right"/>
      </w:pPr>
      <w:r>
        <w:t>унитарными предприятиями, и некоммерческими</w:t>
      </w:r>
    </w:p>
    <w:p w:rsidR="009B77FF" w:rsidRDefault="009B77FF">
      <w:pPr>
        <w:pStyle w:val="ConsPlusNormal"/>
        <w:jc w:val="right"/>
      </w:pPr>
      <w:r>
        <w:t>организациями, созданными в форме фондов</w:t>
      </w:r>
    </w:p>
    <w:p w:rsidR="009B77FF" w:rsidRDefault="009B77FF">
      <w:pPr>
        <w:pStyle w:val="ConsPlusNormal"/>
        <w:ind w:firstLine="540"/>
        <w:jc w:val="both"/>
      </w:pPr>
    </w:p>
    <w:p w:rsidR="009B77FF" w:rsidRDefault="009B77FF">
      <w:pPr>
        <w:pStyle w:val="ConsPlusNormal"/>
        <w:jc w:val="center"/>
      </w:pPr>
      <w:bookmarkStart w:id="10" w:name="P108"/>
      <w:bookmarkEnd w:id="10"/>
      <w:r>
        <w:t>ФОРМА СВЕДЕНИЙ</w:t>
      </w:r>
    </w:p>
    <w:p w:rsidR="009B77FF" w:rsidRDefault="009B77FF">
      <w:pPr>
        <w:pStyle w:val="ConsPlusNormal"/>
        <w:ind w:firstLine="540"/>
        <w:jc w:val="both"/>
      </w:pPr>
    </w:p>
    <w:p w:rsidR="009B77FF" w:rsidRDefault="009B77FF">
      <w:pPr>
        <w:pStyle w:val="ConsPlusNonformat"/>
        <w:jc w:val="both"/>
      </w:pPr>
      <w:r>
        <w:t xml:space="preserve">                                                УТВЕРЖДАЮ</w:t>
      </w:r>
    </w:p>
    <w:p w:rsidR="009B77FF" w:rsidRDefault="009B77FF">
      <w:pPr>
        <w:pStyle w:val="ConsPlusNonformat"/>
        <w:jc w:val="both"/>
      </w:pPr>
      <w:r>
        <w:t xml:space="preserve">                               ____________________________________________</w:t>
      </w:r>
    </w:p>
    <w:p w:rsidR="009B77FF" w:rsidRDefault="009B77FF">
      <w:pPr>
        <w:pStyle w:val="ConsPlusNonformat"/>
        <w:jc w:val="both"/>
      </w:pPr>
      <w:r>
        <w:t xml:space="preserve">                                      (наименование должности лица,</w:t>
      </w:r>
    </w:p>
    <w:p w:rsidR="009B77FF" w:rsidRDefault="009B77FF">
      <w:pPr>
        <w:pStyle w:val="ConsPlusNonformat"/>
        <w:jc w:val="both"/>
      </w:pPr>
      <w:r>
        <w:t xml:space="preserve">                                          утверждающего документ)</w:t>
      </w:r>
    </w:p>
    <w:p w:rsidR="009B77FF" w:rsidRDefault="009B77FF">
      <w:pPr>
        <w:pStyle w:val="ConsPlusNonformat"/>
        <w:jc w:val="both"/>
      </w:pPr>
      <w:r>
        <w:t xml:space="preserve">                               ____________________________________________</w:t>
      </w:r>
    </w:p>
    <w:p w:rsidR="009B77FF" w:rsidRDefault="009B77FF">
      <w:pPr>
        <w:pStyle w:val="ConsPlusNonformat"/>
        <w:jc w:val="both"/>
      </w:pPr>
      <w:r>
        <w:t xml:space="preserve">                                  (личная </w:t>
      </w:r>
      <w:proofErr w:type="gramStart"/>
      <w:r>
        <w:t xml:space="preserve">подпись)   </w:t>
      </w:r>
      <w:proofErr w:type="gramEnd"/>
      <w:r>
        <w:t xml:space="preserve">   (</w:t>
      </w:r>
      <w:proofErr w:type="spellStart"/>
      <w:r>
        <w:t>И.О.Фамилия</w:t>
      </w:r>
      <w:proofErr w:type="spellEnd"/>
      <w:r>
        <w:t>)</w:t>
      </w:r>
    </w:p>
    <w:p w:rsidR="009B77FF" w:rsidRDefault="009B77FF">
      <w:pPr>
        <w:pStyle w:val="ConsPlusNonformat"/>
        <w:jc w:val="both"/>
      </w:pPr>
      <w:r>
        <w:t xml:space="preserve">                               ____________________________________________</w:t>
      </w:r>
    </w:p>
    <w:p w:rsidR="009B77FF" w:rsidRDefault="009B77FF">
      <w:pPr>
        <w:pStyle w:val="ConsPlusNonformat"/>
        <w:jc w:val="both"/>
      </w:pPr>
      <w:r>
        <w:t xml:space="preserve">                               (наименование главного распорядителя средств</w:t>
      </w:r>
    </w:p>
    <w:p w:rsidR="009B77FF" w:rsidRDefault="009B77FF">
      <w:pPr>
        <w:pStyle w:val="ConsPlusNonformat"/>
        <w:jc w:val="both"/>
      </w:pPr>
      <w:r>
        <w:t xml:space="preserve">                                            окружного бюджета)</w:t>
      </w:r>
    </w:p>
    <w:p w:rsidR="009B77FF" w:rsidRDefault="009B77FF">
      <w:pPr>
        <w:pStyle w:val="ConsPlusNonformat"/>
        <w:jc w:val="both"/>
      </w:pPr>
      <w:r>
        <w:t xml:space="preserve">                               ____________________________________________</w:t>
      </w:r>
    </w:p>
    <w:p w:rsidR="009B77FF" w:rsidRDefault="009B77FF">
      <w:pPr>
        <w:pStyle w:val="ConsPlusNonformat"/>
        <w:jc w:val="both"/>
      </w:pPr>
      <w:r>
        <w:t xml:space="preserve">                                                "___" ____________ 20___ г.</w:t>
      </w:r>
    </w:p>
    <w:p w:rsidR="009B77FF" w:rsidRDefault="009B77FF">
      <w:pPr>
        <w:pStyle w:val="ConsPlusNonformat"/>
        <w:jc w:val="both"/>
      </w:pPr>
    </w:p>
    <w:p w:rsidR="009B77FF" w:rsidRDefault="009B77FF">
      <w:pPr>
        <w:pStyle w:val="ConsPlusNonformat"/>
        <w:jc w:val="both"/>
      </w:pPr>
      <w:r>
        <w:t xml:space="preserve">                            СВЕДЕНИЯ N ________</w:t>
      </w:r>
    </w:p>
    <w:p w:rsidR="009B77FF" w:rsidRDefault="009B77FF">
      <w:pPr>
        <w:pStyle w:val="ConsPlusNonformat"/>
        <w:jc w:val="both"/>
      </w:pPr>
      <w:r>
        <w:t xml:space="preserve">         о направлениях расходования целевых средств на _____ год</w:t>
      </w:r>
    </w:p>
    <w:p w:rsidR="009B77FF" w:rsidRDefault="009B77FF">
      <w:pPr>
        <w:pStyle w:val="ConsPlusNonformat"/>
        <w:jc w:val="both"/>
      </w:pPr>
    </w:p>
    <w:p w:rsidR="009B77FF" w:rsidRDefault="009B77FF">
      <w:pPr>
        <w:pStyle w:val="ConsPlusNonformat"/>
        <w:jc w:val="both"/>
      </w:pPr>
      <w:r>
        <w:t xml:space="preserve">                        "___" ____________ 20___ г.</w:t>
      </w:r>
    </w:p>
    <w:p w:rsidR="009B77FF" w:rsidRDefault="009B77FF">
      <w:pPr>
        <w:pStyle w:val="ConsPlusNonformat"/>
        <w:jc w:val="both"/>
      </w:pPr>
    </w:p>
    <w:p w:rsidR="009B77FF" w:rsidRDefault="009B77FF">
      <w:pPr>
        <w:pStyle w:val="ConsPlusNonformat"/>
        <w:jc w:val="both"/>
      </w:pPr>
      <w:r>
        <w:t>ИНН, наименование организации            __________________________________</w:t>
      </w:r>
    </w:p>
    <w:p w:rsidR="009B77FF" w:rsidRDefault="009B77FF">
      <w:pPr>
        <w:pStyle w:val="ConsPlusNonformat"/>
        <w:jc w:val="both"/>
      </w:pPr>
      <w:r>
        <w:t>Номер лицевого счета организации         __________________________________</w:t>
      </w:r>
    </w:p>
    <w:p w:rsidR="009B77FF" w:rsidRDefault="009B77FF">
      <w:pPr>
        <w:pStyle w:val="ConsPlusNonformat"/>
        <w:jc w:val="both"/>
      </w:pPr>
      <w:r>
        <w:t>Основание предоставления целевых средств __________________________________</w:t>
      </w:r>
    </w:p>
    <w:p w:rsidR="009B77FF" w:rsidRDefault="009B77FF">
      <w:pPr>
        <w:pStyle w:val="ConsPlusNonformat"/>
        <w:jc w:val="both"/>
      </w:pPr>
      <w:r>
        <w:t>(N и дата документа)</w:t>
      </w:r>
    </w:p>
    <w:p w:rsidR="009B77FF" w:rsidRDefault="009B77FF">
      <w:pPr>
        <w:pStyle w:val="ConsPlusNonformat"/>
        <w:jc w:val="both"/>
      </w:pPr>
    </w:p>
    <w:p w:rsidR="009B77FF" w:rsidRDefault="009B77FF">
      <w:pPr>
        <w:pStyle w:val="ConsPlusNonformat"/>
        <w:jc w:val="both"/>
      </w:pPr>
      <w:r>
        <w:t>Единица измерения: руб. (с точностью</w:t>
      </w:r>
    </w:p>
    <w:p w:rsidR="009B77FF" w:rsidRDefault="009B77FF">
      <w:pPr>
        <w:pStyle w:val="ConsPlusNonformat"/>
        <w:jc w:val="both"/>
      </w:pPr>
      <w:r>
        <w:t>до второго десятичного знака)</w:t>
      </w:r>
    </w:p>
    <w:p w:rsidR="009B77FF" w:rsidRDefault="009B77FF">
      <w:pPr>
        <w:pStyle w:val="ConsPlusNormal"/>
        <w:ind w:firstLine="540"/>
        <w:jc w:val="both"/>
      </w:pPr>
    </w:p>
    <w:p w:rsidR="009B77FF" w:rsidRDefault="009B77FF">
      <w:pPr>
        <w:sectPr w:rsidR="009B77FF" w:rsidSect="0016557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6"/>
        <w:gridCol w:w="2608"/>
        <w:gridCol w:w="2381"/>
        <w:gridCol w:w="2381"/>
      </w:tblGrid>
      <w:tr w:rsidR="009B77FF">
        <w:tc>
          <w:tcPr>
            <w:tcW w:w="6236" w:type="dxa"/>
          </w:tcPr>
          <w:p w:rsidR="009B77FF" w:rsidRDefault="009B77FF">
            <w:pPr>
              <w:pStyle w:val="ConsPlusNormal"/>
              <w:jc w:val="center"/>
            </w:pPr>
            <w:r>
              <w:lastRenderedPageBreak/>
              <w:t>Направление расходования целевых средств</w:t>
            </w:r>
          </w:p>
        </w:tc>
        <w:tc>
          <w:tcPr>
            <w:tcW w:w="2608" w:type="dxa"/>
          </w:tcPr>
          <w:p w:rsidR="009B77FF" w:rsidRDefault="009B77FF">
            <w:pPr>
              <w:pStyle w:val="ConsPlusNormal"/>
              <w:jc w:val="center"/>
            </w:pPr>
            <w:r>
              <w:t>Код субсидии (целевых средств)</w:t>
            </w:r>
          </w:p>
        </w:tc>
        <w:tc>
          <w:tcPr>
            <w:tcW w:w="2381" w:type="dxa"/>
          </w:tcPr>
          <w:p w:rsidR="009B77FF" w:rsidRDefault="009B77FF">
            <w:pPr>
              <w:pStyle w:val="ConsPlusNormal"/>
              <w:jc w:val="center"/>
            </w:pPr>
            <w:r>
              <w:t>Планируемые суммы выплат, всего</w:t>
            </w:r>
          </w:p>
        </w:tc>
        <w:tc>
          <w:tcPr>
            <w:tcW w:w="2381" w:type="dxa"/>
          </w:tcPr>
          <w:p w:rsidR="009B77FF" w:rsidRDefault="009B77FF">
            <w:pPr>
              <w:pStyle w:val="ConsPlusNormal"/>
              <w:jc w:val="center"/>
            </w:pPr>
            <w:r>
              <w:t>В том числе текущие изменения (+, -)</w:t>
            </w:r>
          </w:p>
        </w:tc>
      </w:tr>
      <w:tr w:rsidR="009B77FF">
        <w:tc>
          <w:tcPr>
            <w:tcW w:w="6236" w:type="dxa"/>
          </w:tcPr>
          <w:p w:rsidR="009B77FF" w:rsidRDefault="009B77F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608" w:type="dxa"/>
          </w:tcPr>
          <w:p w:rsidR="009B77FF" w:rsidRDefault="009B77F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381" w:type="dxa"/>
          </w:tcPr>
          <w:p w:rsidR="009B77FF" w:rsidRDefault="009B77F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381" w:type="dxa"/>
          </w:tcPr>
          <w:p w:rsidR="009B77FF" w:rsidRDefault="009B77FF">
            <w:pPr>
              <w:pStyle w:val="ConsPlusNormal"/>
              <w:jc w:val="center"/>
            </w:pPr>
            <w:r>
              <w:t>4</w:t>
            </w:r>
          </w:p>
        </w:tc>
      </w:tr>
      <w:tr w:rsidR="009B77FF">
        <w:tc>
          <w:tcPr>
            <w:tcW w:w="6236" w:type="dxa"/>
          </w:tcPr>
          <w:p w:rsidR="009B77FF" w:rsidRDefault="009B77FF">
            <w:pPr>
              <w:pStyle w:val="ConsPlusNormal"/>
              <w:jc w:val="center"/>
            </w:pPr>
          </w:p>
        </w:tc>
        <w:tc>
          <w:tcPr>
            <w:tcW w:w="2608" w:type="dxa"/>
          </w:tcPr>
          <w:p w:rsidR="009B77FF" w:rsidRDefault="009B77FF">
            <w:pPr>
              <w:pStyle w:val="ConsPlusNormal"/>
              <w:jc w:val="center"/>
            </w:pPr>
          </w:p>
        </w:tc>
        <w:tc>
          <w:tcPr>
            <w:tcW w:w="2381" w:type="dxa"/>
          </w:tcPr>
          <w:p w:rsidR="009B77FF" w:rsidRDefault="009B77FF">
            <w:pPr>
              <w:pStyle w:val="ConsPlusNormal"/>
              <w:jc w:val="center"/>
            </w:pPr>
          </w:p>
        </w:tc>
        <w:tc>
          <w:tcPr>
            <w:tcW w:w="2381" w:type="dxa"/>
          </w:tcPr>
          <w:p w:rsidR="009B77FF" w:rsidRDefault="009B77FF">
            <w:pPr>
              <w:pStyle w:val="ConsPlusNormal"/>
              <w:jc w:val="center"/>
            </w:pPr>
          </w:p>
        </w:tc>
      </w:tr>
      <w:tr w:rsidR="009B77FF">
        <w:tc>
          <w:tcPr>
            <w:tcW w:w="6236" w:type="dxa"/>
          </w:tcPr>
          <w:p w:rsidR="009B77FF" w:rsidRDefault="009B77FF">
            <w:pPr>
              <w:pStyle w:val="ConsPlusNormal"/>
              <w:jc w:val="center"/>
            </w:pPr>
          </w:p>
        </w:tc>
        <w:tc>
          <w:tcPr>
            <w:tcW w:w="2608" w:type="dxa"/>
          </w:tcPr>
          <w:p w:rsidR="009B77FF" w:rsidRDefault="009B77FF">
            <w:pPr>
              <w:pStyle w:val="ConsPlusNormal"/>
              <w:jc w:val="center"/>
            </w:pPr>
          </w:p>
        </w:tc>
        <w:tc>
          <w:tcPr>
            <w:tcW w:w="2381" w:type="dxa"/>
          </w:tcPr>
          <w:p w:rsidR="009B77FF" w:rsidRDefault="009B77FF">
            <w:pPr>
              <w:pStyle w:val="ConsPlusNormal"/>
              <w:jc w:val="center"/>
            </w:pPr>
          </w:p>
        </w:tc>
        <w:tc>
          <w:tcPr>
            <w:tcW w:w="2381" w:type="dxa"/>
          </w:tcPr>
          <w:p w:rsidR="009B77FF" w:rsidRDefault="009B77FF">
            <w:pPr>
              <w:pStyle w:val="ConsPlusNormal"/>
              <w:jc w:val="center"/>
            </w:pPr>
          </w:p>
        </w:tc>
      </w:tr>
      <w:tr w:rsidR="009B77FF">
        <w:tc>
          <w:tcPr>
            <w:tcW w:w="6236" w:type="dxa"/>
          </w:tcPr>
          <w:p w:rsidR="009B77FF" w:rsidRDefault="009B77FF">
            <w:pPr>
              <w:pStyle w:val="ConsPlusNormal"/>
              <w:jc w:val="center"/>
            </w:pPr>
          </w:p>
        </w:tc>
        <w:tc>
          <w:tcPr>
            <w:tcW w:w="2608" w:type="dxa"/>
          </w:tcPr>
          <w:p w:rsidR="009B77FF" w:rsidRDefault="009B77FF">
            <w:pPr>
              <w:pStyle w:val="ConsPlusNormal"/>
              <w:jc w:val="center"/>
            </w:pPr>
          </w:p>
        </w:tc>
        <w:tc>
          <w:tcPr>
            <w:tcW w:w="2381" w:type="dxa"/>
          </w:tcPr>
          <w:p w:rsidR="009B77FF" w:rsidRDefault="009B77FF">
            <w:pPr>
              <w:pStyle w:val="ConsPlusNormal"/>
              <w:jc w:val="center"/>
            </w:pPr>
          </w:p>
        </w:tc>
        <w:tc>
          <w:tcPr>
            <w:tcW w:w="2381" w:type="dxa"/>
          </w:tcPr>
          <w:p w:rsidR="009B77FF" w:rsidRDefault="009B77FF">
            <w:pPr>
              <w:pStyle w:val="ConsPlusNormal"/>
              <w:jc w:val="center"/>
            </w:pPr>
          </w:p>
        </w:tc>
      </w:tr>
      <w:tr w:rsidR="009B77FF">
        <w:tblPrEx>
          <w:tblBorders>
            <w:left w:val="nil"/>
          </w:tblBorders>
        </w:tblPrEx>
        <w:tc>
          <w:tcPr>
            <w:tcW w:w="6236" w:type="dxa"/>
            <w:tcBorders>
              <w:left w:val="nil"/>
              <w:bottom w:val="nil"/>
              <w:right w:val="nil"/>
            </w:tcBorders>
          </w:tcPr>
          <w:p w:rsidR="009B77FF" w:rsidRDefault="009B77FF">
            <w:pPr>
              <w:pStyle w:val="ConsPlusNormal"/>
              <w:jc w:val="center"/>
            </w:pPr>
          </w:p>
        </w:tc>
        <w:tc>
          <w:tcPr>
            <w:tcW w:w="2608" w:type="dxa"/>
            <w:tcBorders>
              <w:left w:val="nil"/>
              <w:bottom w:val="nil"/>
            </w:tcBorders>
          </w:tcPr>
          <w:p w:rsidR="009B77FF" w:rsidRDefault="009B77FF">
            <w:pPr>
              <w:pStyle w:val="ConsPlusNormal"/>
              <w:jc w:val="right"/>
            </w:pPr>
            <w:r>
              <w:t>Всего</w:t>
            </w:r>
          </w:p>
        </w:tc>
        <w:tc>
          <w:tcPr>
            <w:tcW w:w="2381" w:type="dxa"/>
          </w:tcPr>
          <w:p w:rsidR="009B77FF" w:rsidRDefault="009B77FF">
            <w:pPr>
              <w:pStyle w:val="ConsPlusNormal"/>
              <w:jc w:val="center"/>
            </w:pPr>
          </w:p>
        </w:tc>
        <w:tc>
          <w:tcPr>
            <w:tcW w:w="2381" w:type="dxa"/>
          </w:tcPr>
          <w:p w:rsidR="009B77FF" w:rsidRDefault="009B77FF">
            <w:pPr>
              <w:pStyle w:val="ConsPlusNormal"/>
              <w:jc w:val="center"/>
            </w:pPr>
          </w:p>
        </w:tc>
      </w:tr>
    </w:tbl>
    <w:p w:rsidR="009B77FF" w:rsidRDefault="009B77FF">
      <w:pPr>
        <w:pStyle w:val="ConsPlusNormal"/>
        <w:ind w:firstLine="540"/>
        <w:jc w:val="both"/>
      </w:pPr>
    </w:p>
    <w:p w:rsidR="009B77FF" w:rsidRDefault="009B77FF">
      <w:pPr>
        <w:pStyle w:val="ConsPlusNonformat"/>
        <w:jc w:val="both"/>
      </w:pPr>
      <w:r>
        <w:rPr>
          <w:sz w:val="12"/>
        </w:rPr>
        <w:t>Руководитель            ___________ _____________________</w:t>
      </w:r>
    </w:p>
    <w:p w:rsidR="009B77FF" w:rsidRDefault="009B77FF">
      <w:pPr>
        <w:pStyle w:val="ConsPlusNonformat"/>
        <w:jc w:val="both"/>
      </w:pPr>
      <w:r>
        <w:rPr>
          <w:sz w:val="12"/>
        </w:rPr>
        <w:t xml:space="preserve">                         (</w:t>
      </w:r>
      <w:proofErr w:type="gramStart"/>
      <w:r>
        <w:rPr>
          <w:sz w:val="12"/>
        </w:rPr>
        <w:t>подпись)  (</w:t>
      </w:r>
      <w:proofErr w:type="gramEnd"/>
      <w:r>
        <w:rPr>
          <w:sz w:val="12"/>
        </w:rPr>
        <w:t>расшифровка подписи)  ┌─ ─ ─ ─ ─ ─ ─ ─ ─ ─ ─ ─ ─ ─ ─ ─ ─ ─ ─ ─ ─ ─ ─ ─ ─ ─ ─ ─ ─ ─ ┐</w:t>
      </w:r>
    </w:p>
    <w:p w:rsidR="009B77FF" w:rsidRDefault="009B77FF">
      <w:pPr>
        <w:pStyle w:val="ConsPlusNonformat"/>
        <w:jc w:val="both"/>
      </w:pPr>
      <w:r>
        <w:rPr>
          <w:sz w:val="12"/>
        </w:rPr>
        <w:t xml:space="preserve">                                                                   ОТМЕТКА ДЕПАРТАМЕНТА ФИНАНСОВ ЯМАЛО-НЕНЕЦКОГО</w:t>
      </w:r>
    </w:p>
    <w:p w:rsidR="009B77FF" w:rsidRDefault="009B77FF">
      <w:pPr>
        <w:pStyle w:val="ConsPlusNonformat"/>
        <w:jc w:val="both"/>
      </w:pPr>
      <w:r>
        <w:rPr>
          <w:sz w:val="12"/>
        </w:rPr>
        <w:t>Руководитель финансово-                                    │           АВТОНОМНОГО ОКРУГА О ПРИНЯТИИ СВЕДЕНИЙ           │</w:t>
      </w:r>
    </w:p>
    <w:p w:rsidR="009B77FF" w:rsidRDefault="009B77FF">
      <w:pPr>
        <w:pStyle w:val="ConsPlusNonformat"/>
        <w:jc w:val="both"/>
      </w:pPr>
      <w:r>
        <w:rPr>
          <w:sz w:val="12"/>
        </w:rPr>
        <w:t>экономической службы    ___________ _____________________</w:t>
      </w:r>
    </w:p>
    <w:p w:rsidR="009B77FF" w:rsidRDefault="009B77FF">
      <w:pPr>
        <w:pStyle w:val="ConsPlusNonformat"/>
        <w:jc w:val="both"/>
      </w:pPr>
      <w:r>
        <w:rPr>
          <w:sz w:val="12"/>
        </w:rPr>
        <w:t xml:space="preserve">                         (</w:t>
      </w:r>
      <w:proofErr w:type="gramStart"/>
      <w:r>
        <w:rPr>
          <w:sz w:val="12"/>
        </w:rPr>
        <w:t>подпись)  (</w:t>
      </w:r>
      <w:proofErr w:type="gramEnd"/>
      <w:r>
        <w:rPr>
          <w:sz w:val="12"/>
        </w:rPr>
        <w:t>расшифровка подписи)  │ Ответственный                                              │</w:t>
      </w:r>
    </w:p>
    <w:p w:rsidR="009B77FF" w:rsidRDefault="009B77FF">
      <w:pPr>
        <w:pStyle w:val="ConsPlusNonformat"/>
        <w:jc w:val="both"/>
      </w:pPr>
      <w:r>
        <w:rPr>
          <w:sz w:val="12"/>
        </w:rPr>
        <w:t xml:space="preserve">                                                             исполнитель   ___________ _________ ____________ _________</w:t>
      </w:r>
    </w:p>
    <w:p w:rsidR="009B77FF" w:rsidRDefault="009B77FF">
      <w:pPr>
        <w:pStyle w:val="ConsPlusNonformat"/>
        <w:jc w:val="both"/>
      </w:pPr>
      <w:r>
        <w:rPr>
          <w:sz w:val="12"/>
        </w:rPr>
        <w:t xml:space="preserve">Ответственный                                              │            </w:t>
      </w:r>
      <w:proofErr w:type="gramStart"/>
      <w:r>
        <w:rPr>
          <w:sz w:val="12"/>
        </w:rPr>
        <w:t xml:space="preserve">   (</w:t>
      </w:r>
      <w:proofErr w:type="gramEnd"/>
      <w:r>
        <w:rPr>
          <w:sz w:val="12"/>
        </w:rPr>
        <w:t>должность) (подпись) (расшифровка (телефон) │</w:t>
      </w:r>
    </w:p>
    <w:p w:rsidR="009B77FF" w:rsidRDefault="009B77FF">
      <w:pPr>
        <w:pStyle w:val="ConsPlusNonformat"/>
        <w:jc w:val="both"/>
      </w:pPr>
      <w:r>
        <w:rPr>
          <w:sz w:val="12"/>
        </w:rPr>
        <w:t>исполнитель   ___________ _________ ____________ _________                                         подписи)</w:t>
      </w:r>
    </w:p>
    <w:p w:rsidR="009B77FF" w:rsidRDefault="009B77FF">
      <w:pPr>
        <w:pStyle w:val="ConsPlusNonformat"/>
        <w:jc w:val="both"/>
      </w:pPr>
      <w:r>
        <w:rPr>
          <w:sz w:val="12"/>
        </w:rPr>
        <w:t xml:space="preserve">              (должность) (подпись) (расшифровка (телефон) │ "___" ____________ 20___ г.                                │</w:t>
      </w:r>
    </w:p>
    <w:p w:rsidR="009B77FF" w:rsidRDefault="009B77FF">
      <w:pPr>
        <w:pStyle w:val="ConsPlusNonformat"/>
        <w:jc w:val="both"/>
      </w:pPr>
      <w:r>
        <w:rPr>
          <w:sz w:val="12"/>
        </w:rPr>
        <w:t xml:space="preserve">                                      </w:t>
      </w:r>
      <w:proofErr w:type="gramStart"/>
      <w:r>
        <w:rPr>
          <w:sz w:val="12"/>
        </w:rPr>
        <w:t xml:space="preserve">подписи)   </w:t>
      </w:r>
      <w:proofErr w:type="gramEnd"/>
      <w:r>
        <w:rPr>
          <w:sz w:val="12"/>
        </w:rPr>
        <w:t xml:space="preserve">          └─ ─ ─ ─ ─ ─ ─ ─ ─ ─ ─ ─ ─ ─ ─ ─ ─ ─ ─ ─ ─ ─ ─ ─ ─ ─ ─ ─ ─ ─ ┘</w:t>
      </w:r>
    </w:p>
    <w:p w:rsidR="009B77FF" w:rsidRDefault="009B77FF">
      <w:pPr>
        <w:pStyle w:val="ConsPlusNonformat"/>
        <w:jc w:val="both"/>
      </w:pPr>
      <w:r>
        <w:rPr>
          <w:sz w:val="12"/>
        </w:rPr>
        <w:t>"___" ____________ 20___ г.</w:t>
      </w:r>
    </w:p>
    <w:p w:rsidR="009B77FF" w:rsidRDefault="009B77FF">
      <w:pPr>
        <w:pStyle w:val="ConsPlusNormal"/>
        <w:jc w:val="both"/>
      </w:pPr>
    </w:p>
    <w:p w:rsidR="009B77FF" w:rsidRDefault="009B77FF">
      <w:pPr>
        <w:pStyle w:val="ConsPlusNormal"/>
        <w:ind w:firstLine="540"/>
        <w:jc w:val="both"/>
      </w:pPr>
    </w:p>
    <w:p w:rsidR="009B77FF" w:rsidRDefault="009B77F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53D0C" w:rsidRDefault="00C53D0C">
      <w:bookmarkStart w:id="11" w:name="_GoBack"/>
      <w:bookmarkEnd w:id="11"/>
    </w:p>
    <w:sectPr w:rsidR="00C53D0C" w:rsidSect="00CB5904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7FF"/>
    <w:rsid w:val="009B77FF"/>
    <w:rsid w:val="00C53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EBA849-2C81-4835-9F1B-47424DD4C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77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B77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B77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B77F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7B3891E19C8E4EBC84955AA94CC10CCF8CA02181F237A4045ADDF5B341BA522DB5C32B0996F24D5CA9B5CF786CC1E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7B3891E19C8E4EBC84955AA94CC10CCFBCF051E1E227A4045ADDF5B341BA522DB5C32B0996F24D5CA9B5CF786CC1EK" TargetMode="External"/><Relationship Id="rId5" Type="http://schemas.openxmlformats.org/officeDocument/2006/relationships/hyperlink" Target="consultantplus://offline/ref=37B3891E19C8E4EBC8494BA782A047C1FFC659131A26771E18FFD90C6B4BA377891C6CE9DA2237D4CB855FF583CCDCA1DC4561A5C2957337A0993556CA18K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2924</Words>
  <Characters>16668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user_8</dc:creator>
  <cp:keywords/>
  <dc:description/>
  <cp:lastModifiedBy>user_8</cp:lastModifiedBy>
  <cp:revision>1</cp:revision>
  <dcterms:created xsi:type="dcterms:W3CDTF">2019-01-09T10:53:00Z</dcterms:created>
  <dcterms:modified xsi:type="dcterms:W3CDTF">2019-01-09T10:53:00Z</dcterms:modified>
</cp:coreProperties>
</file>